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7E" w:rsidRPr="00AD123D" w:rsidRDefault="0040107E" w:rsidP="0040107E">
      <w:pPr>
        <w:spacing w:after="0" w:line="240" w:lineRule="auto"/>
        <w:jc w:val="both"/>
        <w:rPr>
          <w:rFonts w:ascii="Arial" w:hAnsi="Arial" w:cs="Arial"/>
          <w:b/>
        </w:rPr>
      </w:pPr>
      <w:bookmarkStart w:id="0" w:name="OLE_LINK7"/>
      <w:bookmarkStart w:id="1" w:name="OLE_LINK8"/>
      <w:r w:rsidRPr="00AD123D">
        <w:rPr>
          <w:rFonts w:ascii="Arial" w:hAnsi="Arial" w:cs="Arial"/>
          <w:b/>
        </w:rPr>
        <w:t xml:space="preserve">DIPUTADO ERIK RIHANI GONZÁLEZ. </w:t>
      </w:r>
    </w:p>
    <w:p w:rsidR="0040107E" w:rsidRPr="00AD123D" w:rsidRDefault="0040107E" w:rsidP="0040107E">
      <w:pPr>
        <w:spacing w:after="0" w:line="240" w:lineRule="auto"/>
        <w:jc w:val="both"/>
        <w:rPr>
          <w:rFonts w:ascii="Arial" w:hAnsi="Arial" w:cs="Arial"/>
          <w:b/>
        </w:rPr>
      </w:pPr>
      <w:r w:rsidRPr="00AD123D">
        <w:rPr>
          <w:rFonts w:ascii="Arial" w:hAnsi="Arial" w:cs="Arial"/>
          <w:b/>
        </w:rPr>
        <w:t xml:space="preserve">PRESIDENTE DE LA MESA DIRECTIVA </w:t>
      </w:r>
    </w:p>
    <w:p w:rsidR="0040107E" w:rsidRPr="00AD123D" w:rsidRDefault="0040107E" w:rsidP="0040107E">
      <w:pPr>
        <w:spacing w:after="0" w:line="240" w:lineRule="auto"/>
        <w:jc w:val="both"/>
        <w:rPr>
          <w:rFonts w:ascii="Arial" w:hAnsi="Arial" w:cs="Arial"/>
          <w:b/>
        </w:rPr>
      </w:pPr>
      <w:r w:rsidRPr="00AD123D">
        <w:rPr>
          <w:rFonts w:ascii="Arial" w:hAnsi="Arial" w:cs="Arial"/>
          <w:b/>
        </w:rPr>
        <w:t>DEL HONORABLE CONGRESO DE YUCATÁN.</w:t>
      </w:r>
    </w:p>
    <w:p w:rsidR="0040107E" w:rsidRPr="00AD123D" w:rsidRDefault="0040107E" w:rsidP="0040107E">
      <w:pPr>
        <w:spacing w:line="360" w:lineRule="auto"/>
        <w:jc w:val="both"/>
        <w:rPr>
          <w:rFonts w:ascii="Bookman Old Style" w:eastAsia="Calibri" w:hAnsi="Bookman Old Style" w:cs="Courier New"/>
          <w:b/>
        </w:rPr>
      </w:pPr>
    </w:p>
    <w:p w:rsidR="0040107E" w:rsidRPr="00AD123D" w:rsidRDefault="0040107E" w:rsidP="0040107E">
      <w:pPr>
        <w:spacing w:line="360" w:lineRule="auto"/>
        <w:jc w:val="both"/>
        <w:rPr>
          <w:rFonts w:ascii="Bookman Old Style" w:eastAsia="Calibri" w:hAnsi="Bookman Old Style" w:cs="Courier New"/>
        </w:rPr>
      </w:pPr>
      <w:bookmarkStart w:id="2" w:name="OLE_LINK9"/>
      <w:bookmarkStart w:id="3" w:name="OLE_LINK10"/>
      <w:bookmarkEnd w:id="0"/>
      <w:bookmarkEnd w:id="1"/>
      <w:r w:rsidRPr="00AD123D">
        <w:rPr>
          <w:rFonts w:ascii="Bookman Old Style" w:eastAsia="Calibri" w:hAnsi="Bookman Old Style" w:cs="Courier New"/>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diputado Rafael </w:t>
      </w:r>
      <w:proofErr w:type="spellStart"/>
      <w:r w:rsidRPr="00AD123D">
        <w:rPr>
          <w:rFonts w:ascii="Bookman Old Style" w:eastAsia="Calibri" w:hAnsi="Bookman Old Style" w:cs="Courier New"/>
        </w:rPr>
        <w:t>Echazarreta</w:t>
      </w:r>
      <w:proofErr w:type="spellEnd"/>
      <w:r w:rsidRPr="00AD123D">
        <w:rPr>
          <w:rFonts w:ascii="Bookman Old Style" w:eastAsia="Calibri" w:hAnsi="Bookman Old Style" w:cs="Courier New"/>
        </w:rPr>
        <w:t xml:space="preserve"> Torres, integrante de la Fracción Legislativa del Partido Movimiento de Regeneración Nacional, de esta LXIII Legislatura, presento a la consideración de esta Honorable Soberanía, la presente iniciativa con </w:t>
      </w:r>
      <w:r w:rsidRPr="00AD123D">
        <w:rPr>
          <w:rFonts w:ascii="Bookman Old Style" w:eastAsia="Calibri" w:hAnsi="Bookman Old Style" w:cs="Courier New"/>
          <w:b/>
        </w:rPr>
        <w:t>PROYECTO DE</w:t>
      </w:r>
      <w:r w:rsidRPr="00AD123D">
        <w:rPr>
          <w:rFonts w:ascii="Bookman Old Style" w:eastAsia="Calibri" w:hAnsi="Bookman Old Style" w:cs="Courier New"/>
        </w:rPr>
        <w:t xml:space="preserve"> </w:t>
      </w:r>
      <w:bookmarkStart w:id="4" w:name="OLE_LINK5"/>
      <w:r w:rsidRPr="00AD123D">
        <w:rPr>
          <w:rFonts w:ascii="Bookman Old Style" w:eastAsia="Calibri" w:hAnsi="Bookman Old Style" w:cs="Courier New"/>
          <w:b/>
        </w:rPr>
        <w:t>DECRETO POR EL QUE SE</w:t>
      </w:r>
      <w:bookmarkEnd w:id="4"/>
      <w:r w:rsidRPr="00AD123D">
        <w:rPr>
          <w:rFonts w:ascii="Bookman Old Style" w:eastAsia="Calibri" w:hAnsi="Bookman Old Style" w:cs="Courier New"/>
          <w:b/>
        </w:rPr>
        <w:t xml:space="preserve"> REFORMA EL SEXTO PÁRRAFO DEL ARTICULO 75 SEPTIES DE LA CONSTITUCIÓN POLITICA DEL ESTADO DE YUCAT</w:t>
      </w:r>
      <w:r w:rsidR="003415CD">
        <w:rPr>
          <w:rFonts w:ascii="Bookman Old Style" w:eastAsia="Calibri" w:hAnsi="Bookman Old Style" w:cs="Courier New"/>
          <w:b/>
        </w:rPr>
        <w:t>AN, REFORMADA  EL CINCO DE ABRIL</w:t>
      </w:r>
      <w:r w:rsidRPr="00AD123D">
        <w:rPr>
          <w:rFonts w:ascii="Bookman Old Style" w:eastAsia="Calibri" w:hAnsi="Bookman Old Style" w:cs="Courier New"/>
          <w:b/>
        </w:rPr>
        <w:t xml:space="preserve"> DE DOS MIL VEINTITRÉS, EN MATERIA DE REQUISITOS PARA OCUPAR LA TITULARIDAD DE LA AGENCIA DE INTELIGENCIA PATRIMONIAL Y ECONÓMICA DEL ESTADO DE YUCATÁN</w:t>
      </w:r>
      <w:r w:rsidRPr="00AD123D">
        <w:rPr>
          <w:rFonts w:ascii="Bookman Old Style" w:eastAsia="Calibri" w:hAnsi="Bookman Old Style" w:cs="Courier New"/>
        </w:rPr>
        <w:t>, al tenor de la siguiente:</w:t>
      </w:r>
    </w:p>
    <w:p w:rsidR="0040107E" w:rsidRPr="00AD123D" w:rsidRDefault="0040107E" w:rsidP="0040107E">
      <w:pPr>
        <w:spacing w:line="360" w:lineRule="auto"/>
        <w:jc w:val="center"/>
        <w:rPr>
          <w:rFonts w:ascii="Bookman Old Style" w:eastAsia="Times New Roman" w:hAnsi="Bookman Old Style" w:cs="Courier New"/>
          <w:b/>
          <w:lang w:eastAsia="es-MX"/>
        </w:rPr>
      </w:pPr>
      <w:r w:rsidRPr="00AD123D">
        <w:rPr>
          <w:rFonts w:ascii="Bookman Old Style" w:eastAsia="Times New Roman" w:hAnsi="Bookman Old Style" w:cs="Courier New"/>
          <w:b/>
          <w:lang w:eastAsia="es-MX"/>
        </w:rPr>
        <w:t>Exposición de Motivos</w:t>
      </w:r>
      <w:bookmarkEnd w:id="2"/>
      <w:bookmarkEnd w:id="3"/>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A partir de una serie de transformaciones que comenzaron en la década de 1990, la estructura institucional del gobierno mexicano se vio significativamente modificada. En efecto, con la creación de los órganos constitucionales autónomos, el diseño tradicional del gobierno centrado en las tres funciones clásicas (legislar, ejecutar y juzgar), dio paso a un modelo más flexible, organizado a partir de otras funciones que fueron ganando centralidad y, por consiguiente, autonomía decisoria e institucional.</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b/>
          <w:sz w:val="22"/>
          <w:szCs w:val="22"/>
          <w:shd w:val="clear" w:color="auto" w:fill="FFFFFF"/>
        </w:rPr>
      </w:pPr>
      <w:r w:rsidRPr="00AD123D">
        <w:rPr>
          <w:rFonts w:ascii="Bookman Old Style" w:hAnsi="Bookman Old Style" w:cs="Courier New"/>
          <w:sz w:val="22"/>
          <w:szCs w:val="22"/>
          <w:shd w:val="clear" w:color="auto" w:fill="FFFFFF"/>
        </w:rPr>
        <w:t>Cuando hablamos de órganos constitucionales autónomos, aludimos a un conjunto de órganos que en nuestro caso: </w:t>
      </w:r>
      <w:r w:rsidRPr="00AD123D">
        <w:rPr>
          <w:rFonts w:ascii="Bookman Old Style" w:hAnsi="Bookman Old Style" w:cs="Courier New"/>
          <w:i/>
          <w:iCs/>
          <w:sz w:val="22"/>
          <w:szCs w:val="22"/>
          <w:shd w:val="clear" w:color="auto" w:fill="FFFFFF"/>
        </w:rPr>
        <w:t>1)</w:t>
      </w:r>
      <w:r w:rsidRPr="00AD123D">
        <w:rPr>
          <w:rFonts w:ascii="Bookman Old Style" w:hAnsi="Bookman Old Style" w:cs="Courier New"/>
          <w:sz w:val="22"/>
          <w:szCs w:val="22"/>
          <w:shd w:val="clear" w:color="auto" w:fill="FFFFFF"/>
        </w:rPr>
        <w:t> se encuentran establecidos en la Constitución; </w:t>
      </w:r>
      <w:r w:rsidRPr="00AD123D">
        <w:rPr>
          <w:rFonts w:ascii="Bookman Old Style" w:hAnsi="Bookman Old Style" w:cs="Courier New"/>
          <w:i/>
          <w:iCs/>
          <w:sz w:val="22"/>
          <w:szCs w:val="22"/>
          <w:shd w:val="clear" w:color="auto" w:fill="FFFFFF"/>
        </w:rPr>
        <w:t>2)</w:t>
      </w:r>
      <w:r w:rsidRPr="00AD123D">
        <w:rPr>
          <w:rFonts w:ascii="Bookman Old Style" w:hAnsi="Bookman Old Style" w:cs="Courier New"/>
          <w:sz w:val="22"/>
          <w:szCs w:val="22"/>
          <w:shd w:val="clear" w:color="auto" w:fill="FFFFFF"/>
        </w:rPr>
        <w:t> se ubican al mismo nivel que los órganos soberanos del Estado, con los que guardan relaciones de coordinación y control</w:t>
      </w:r>
      <w:r w:rsidR="00AD123D" w:rsidRPr="00AD123D">
        <w:rPr>
          <w:rFonts w:ascii="Bookman Old Style" w:hAnsi="Bookman Old Style" w:cs="Courier New"/>
          <w:sz w:val="22"/>
          <w:szCs w:val="22"/>
          <w:shd w:val="clear" w:color="auto" w:fill="FFFFFF"/>
        </w:rPr>
        <w:t xml:space="preserve"> y</w:t>
      </w:r>
      <w:r w:rsidRPr="00AD123D">
        <w:rPr>
          <w:rFonts w:ascii="Bookman Old Style" w:hAnsi="Bookman Old Style" w:cs="Courier New"/>
          <w:sz w:val="22"/>
          <w:szCs w:val="22"/>
          <w:shd w:val="clear" w:color="auto" w:fill="FFFFFF"/>
        </w:rPr>
        <w:t> </w:t>
      </w:r>
      <w:r w:rsidRPr="00AD123D">
        <w:rPr>
          <w:rFonts w:ascii="Bookman Old Style" w:hAnsi="Bookman Old Style" w:cs="Courier New"/>
          <w:i/>
          <w:iCs/>
          <w:sz w:val="22"/>
          <w:szCs w:val="22"/>
          <w:shd w:val="clear" w:color="auto" w:fill="FFFFFF"/>
        </w:rPr>
        <w:t>3)</w:t>
      </w:r>
      <w:r w:rsidRPr="00AD123D">
        <w:rPr>
          <w:rFonts w:ascii="Bookman Old Style" w:hAnsi="Bookman Old Style" w:cs="Courier New"/>
          <w:sz w:val="22"/>
          <w:szCs w:val="22"/>
          <w:shd w:val="clear" w:color="auto" w:fill="FFFFFF"/>
        </w:rPr>
        <w:t xml:space="preserve"> son órganos cuyos titulares se designan con la participación del Ejecutivo y de algunas de las cámaras del Legislativo; sin embargo, </w:t>
      </w:r>
      <w:r w:rsidRPr="00AD123D">
        <w:rPr>
          <w:rFonts w:ascii="Bookman Old Style" w:hAnsi="Bookman Old Style" w:cs="Courier New"/>
          <w:b/>
          <w:sz w:val="22"/>
          <w:szCs w:val="22"/>
          <w:shd w:val="clear" w:color="auto" w:fill="FFFFFF"/>
        </w:rPr>
        <w:t>son independientes de éstos en cuanto a su funcionamiento.</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lastRenderedPageBreak/>
        <w:t>La autonomía de la que hablamos tiene una doble dimensión: estos órganos son autónomos respecto de las demás instituciones del gobierno para establecer regulaciones si</w:t>
      </w:r>
      <w:r w:rsidR="00AD123D" w:rsidRPr="00AD123D">
        <w:rPr>
          <w:rFonts w:ascii="Bookman Old Style" w:hAnsi="Bookman Old Style" w:cs="Courier New"/>
          <w:sz w:val="22"/>
          <w:szCs w:val="22"/>
          <w:shd w:val="clear" w:color="auto" w:fill="FFFFFF"/>
        </w:rPr>
        <w:t xml:space="preserve">n la participación de aquéllas </w:t>
      </w:r>
      <w:r w:rsidRPr="00AD123D">
        <w:rPr>
          <w:rFonts w:ascii="Bookman Old Style" w:hAnsi="Bookman Old Style" w:cs="Courier New"/>
          <w:sz w:val="22"/>
          <w:szCs w:val="22"/>
          <w:shd w:val="clear" w:color="auto" w:fill="FFFFFF"/>
        </w:rPr>
        <w:t xml:space="preserve">y la otra desde el punto de vista político-funcional, con su independencia respecto de los partidos políticos y de los poderes fácticos de la sociedad. De tal forma, podrán distinguirse de otros funcionarios que ocupan cargos por sus filiaciones partidistas o sus vinculaciones con los poderes organizados. </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 xml:space="preserve">Sin embargo, en el caso mexicano, la creación de los primeros órganos constitucionales autónomos parece haber atendido a razones diferentes de las mencionadas. </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Debemos ser conscientes de que el potencial decisorio autónomo de los organismos es el mayor incentivo para que los partidos políticos y los grupos fácticos intenten capturar estos espacios. Por lo tanto, los órganos autónomos se convierten muchas veces en objeto de presiones sociales por parte de actores poco habituados a estas formas de autoridad.</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Frente al acelerado proceso de degradación que enfrentan algunos órganos autónomos, el cual mina su credibilidad y confianza ante la percepción ciudadana, se erigen los juegos de poder internos y externos ya no como amenaza, sino como peligro real; externo, por el intento constante de los actores políticos de influir en ellos, e interno, por la escasa vocación que muestran algunos de ellos por la transparencia y la rendición de cuentas.</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 xml:space="preserve">Habiendo dicho eso, conviene traer a colación las reformas </w:t>
      </w:r>
      <w:r w:rsidR="00AD123D" w:rsidRPr="00AD123D">
        <w:rPr>
          <w:rFonts w:ascii="Bookman Old Style" w:hAnsi="Bookman Old Style" w:cs="Courier New"/>
          <w:sz w:val="22"/>
          <w:szCs w:val="22"/>
          <w:shd w:val="clear" w:color="auto" w:fill="FFFFFF"/>
        </w:rPr>
        <w:t>constitucionales</w:t>
      </w:r>
      <w:r w:rsidRPr="00AD123D">
        <w:rPr>
          <w:rFonts w:ascii="Bookman Old Style" w:hAnsi="Bookman Old Style" w:cs="Courier New"/>
          <w:sz w:val="22"/>
          <w:szCs w:val="22"/>
          <w:shd w:val="clear" w:color="auto" w:fill="FFFFFF"/>
        </w:rPr>
        <w:t xml:space="preserve"> </w:t>
      </w:r>
      <w:r w:rsidR="00AD123D" w:rsidRPr="00AD123D">
        <w:rPr>
          <w:rFonts w:ascii="Bookman Old Style" w:hAnsi="Bookman Old Style" w:cs="Courier New"/>
          <w:sz w:val="22"/>
          <w:szCs w:val="22"/>
          <w:shd w:val="clear" w:color="auto" w:fill="FFFFFF"/>
        </w:rPr>
        <w:t>a</w:t>
      </w:r>
      <w:r w:rsidRPr="00AD123D">
        <w:rPr>
          <w:rFonts w:ascii="Bookman Old Style" w:hAnsi="Bookman Old Style" w:cs="Courier New"/>
          <w:sz w:val="22"/>
          <w:szCs w:val="22"/>
          <w:shd w:val="clear" w:color="auto" w:fill="FFFFFF"/>
        </w:rPr>
        <w:t xml:space="preserve">probadas por este Congreso el pasado 5 de abril de este año, en donde se creó la Agencia de Inteligencia Patrimonial y Económica del Estado de Yucatán, cuyas facultades y procedimientos de remoción, como mencioné en su oportunidad, tienen tintes de inconstitucionalidad. Que aunque </w:t>
      </w:r>
      <w:r w:rsidR="009F3211" w:rsidRPr="00AD123D">
        <w:rPr>
          <w:rFonts w:ascii="Bookman Old Style" w:hAnsi="Bookman Old Style" w:cs="Courier New"/>
          <w:sz w:val="22"/>
          <w:szCs w:val="22"/>
          <w:shd w:val="clear" w:color="auto" w:fill="FFFFFF"/>
        </w:rPr>
        <w:t>aún</w:t>
      </w:r>
      <w:r w:rsidRPr="00AD123D">
        <w:rPr>
          <w:rFonts w:ascii="Bookman Old Style" w:hAnsi="Bookman Old Style" w:cs="Courier New"/>
          <w:sz w:val="22"/>
          <w:szCs w:val="22"/>
          <w:shd w:val="clear" w:color="auto" w:fill="FFFFFF"/>
        </w:rPr>
        <w:t xml:space="preserve"> no se publica</w:t>
      </w:r>
      <w:r w:rsidR="00AD123D" w:rsidRPr="00AD123D">
        <w:rPr>
          <w:rFonts w:ascii="Bookman Old Style" w:hAnsi="Bookman Old Style" w:cs="Courier New"/>
          <w:sz w:val="22"/>
          <w:szCs w:val="22"/>
          <w:shd w:val="clear" w:color="auto" w:fill="FFFFFF"/>
        </w:rPr>
        <w:t>n</w:t>
      </w:r>
      <w:r w:rsidRPr="00AD123D">
        <w:rPr>
          <w:rFonts w:ascii="Bookman Old Style" w:hAnsi="Bookman Old Style" w:cs="Courier New"/>
          <w:sz w:val="22"/>
          <w:szCs w:val="22"/>
          <w:shd w:val="clear" w:color="auto" w:fill="FFFFFF"/>
        </w:rPr>
        <w:t xml:space="preserve"> en el Diario Oficial del Gobierno del estado de Yucatán, ya sea por </w:t>
      </w:r>
      <w:r w:rsidR="009F3211" w:rsidRPr="00AD123D">
        <w:rPr>
          <w:rFonts w:ascii="Bookman Old Style" w:hAnsi="Bookman Old Style" w:cs="Courier New"/>
          <w:sz w:val="22"/>
          <w:szCs w:val="22"/>
          <w:shd w:val="clear" w:color="auto" w:fill="FFFFFF"/>
        </w:rPr>
        <w:t>lentitud, desidia, indiferencia o apatía, ya son un hecho consumado.</w:t>
      </w:r>
    </w:p>
    <w:p w:rsidR="00E90732" w:rsidRPr="00AD123D" w:rsidRDefault="00E90732"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lastRenderedPageBreak/>
        <w:t>Sin embargo</w:t>
      </w:r>
      <w:r w:rsidR="009F3211" w:rsidRPr="00AD123D">
        <w:rPr>
          <w:rFonts w:ascii="Bookman Old Style" w:hAnsi="Bookman Old Style" w:cs="Courier New"/>
          <w:sz w:val="22"/>
          <w:szCs w:val="22"/>
          <w:shd w:val="clear" w:color="auto" w:fill="FFFFFF"/>
        </w:rPr>
        <w:t>,</w:t>
      </w:r>
      <w:r w:rsidRPr="00AD123D">
        <w:rPr>
          <w:rFonts w:ascii="Bookman Old Style" w:hAnsi="Bookman Old Style" w:cs="Courier New"/>
          <w:sz w:val="22"/>
          <w:szCs w:val="22"/>
          <w:shd w:val="clear" w:color="auto" w:fill="FFFFFF"/>
        </w:rPr>
        <w:t xml:space="preserve"> más </w:t>
      </w:r>
      <w:r w:rsidR="009F3211" w:rsidRPr="00AD123D">
        <w:rPr>
          <w:rFonts w:ascii="Bookman Old Style" w:hAnsi="Bookman Old Style" w:cs="Courier New"/>
          <w:sz w:val="22"/>
          <w:szCs w:val="22"/>
          <w:shd w:val="clear" w:color="auto" w:fill="FFFFFF"/>
        </w:rPr>
        <w:t>allá</w:t>
      </w:r>
      <w:r w:rsidRPr="00AD123D">
        <w:rPr>
          <w:rFonts w:ascii="Bookman Old Style" w:hAnsi="Bookman Old Style" w:cs="Courier New"/>
          <w:sz w:val="22"/>
          <w:szCs w:val="22"/>
          <w:shd w:val="clear" w:color="auto" w:fill="FFFFFF"/>
        </w:rPr>
        <w:t xml:space="preserve"> de ello, es nuestra responsabilidad como legisladores</w:t>
      </w:r>
      <w:r w:rsidR="009F3211" w:rsidRPr="00AD123D">
        <w:rPr>
          <w:rFonts w:ascii="Bookman Old Style" w:hAnsi="Bookman Old Style" w:cs="Courier New"/>
          <w:sz w:val="22"/>
          <w:szCs w:val="22"/>
          <w:shd w:val="clear" w:color="auto" w:fill="FFFFFF"/>
        </w:rPr>
        <w:t xml:space="preserve"> dotar al Estado de Yucatán, con instituciones que garanticen su buen desempeño imparcial por el bienestar de todos los yucatecos.</w:t>
      </w:r>
    </w:p>
    <w:p w:rsidR="009F3211" w:rsidRPr="00AD123D" w:rsidRDefault="009F3211" w:rsidP="00E90732">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 xml:space="preserve">Es por ello que propongo reforma el sexto párrafo del artículo 75 </w:t>
      </w:r>
      <w:proofErr w:type="spellStart"/>
      <w:r w:rsidRPr="00AD123D">
        <w:rPr>
          <w:rFonts w:ascii="Bookman Old Style" w:hAnsi="Bookman Old Style" w:cs="Courier New"/>
          <w:sz w:val="22"/>
          <w:szCs w:val="22"/>
          <w:shd w:val="clear" w:color="auto" w:fill="FFFFFF"/>
        </w:rPr>
        <w:t>septies</w:t>
      </w:r>
      <w:proofErr w:type="spellEnd"/>
      <w:r w:rsidRPr="00AD123D">
        <w:rPr>
          <w:rFonts w:ascii="Bookman Old Style" w:hAnsi="Bookman Old Style" w:cs="Courier New"/>
          <w:sz w:val="22"/>
          <w:szCs w:val="22"/>
          <w:shd w:val="clear" w:color="auto" w:fill="FFFFFF"/>
        </w:rPr>
        <w:t xml:space="preserve"> de la constitución política del estado de Yucatán, reformada  el cinco de marzo de dos mil veintitrés, para establecer que para ser titular de la Agencia de Inteligencia Patrimonial y Económica del Estado de Yucatán, </w:t>
      </w:r>
      <w:r w:rsidR="00AD123D" w:rsidRPr="00AD123D">
        <w:rPr>
          <w:rFonts w:ascii="Bookman Old Style" w:hAnsi="Bookman Old Style" w:cs="Courier New"/>
          <w:sz w:val="22"/>
          <w:szCs w:val="22"/>
          <w:shd w:val="clear" w:color="auto" w:fill="FFFFFF"/>
        </w:rPr>
        <w:t>es necesario</w:t>
      </w:r>
      <w:r w:rsidRPr="00AD123D">
        <w:rPr>
          <w:rFonts w:ascii="Bookman Old Style" w:hAnsi="Bookman Old Style" w:cs="Courier New"/>
          <w:sz w:val="22"/>
          <w:szCs w:val="22"/>
          <w:shd w:val="clear" w:color="auto" w:fill="FFFFFF"/>
        </w:rPr>
        <w:t xml:space="preserve"> no haber sido titular o personal de confianza del Poder Ejecutivo del Estado, de alguna de las dependencias o entidades de la Administración Pública del Estado de Yucatán, de un organismo autónomo, Senador, Diputado Federal, Diputado Local, Presidente Municipal o ministro de culto, durante dos años previos al día de la designación.</w:t>
      </w:r>
    </w:p>
    <w:p w:rsidR="0040107E" w:rsidRPr="00AD123D" w:rsidRDefault="0040107E" w:rsidP="0040107E">
      <w:pPr>
        <w:pStyle w:val="NormalWeb"/>
        <w:shd w:val="clear" w:color="auto" w:fill="FFFFFF"/>
        <w:spacing w:line="360" w:lineRule="auto"/>
        <w:jc w:val="both"/>
        <w:rPr>
          <w:rFonts w:ascii="Bookman Old Style" w:eastAsia="Calibri" w:hAnsi="Bookman Old Style" w:cs="Courier New"/>
          <w:b/>
          <w:sz w:val="22"/>
          <w:szCs w:val="22"/>
        </w:rPr>
      </w:pPr>
      <w:r w:rsidRPr="00AD123D">
        <w:rPr>
          <w:rFonts w:ascii="Bookman Old Style" w:hAnsi="Bookman Old Style" w:cs="Times"/>
          <w:color w:val="000000"/>
          <w:sz w:val="22"/>
          <w:szCs w:val="22"/>
        </w:rPr>
        <w:t xml:space="preserve">Por lo expuesto, someto a consideración de esta honorable soberanía la presente iniciativa con </w:t>
      </w:r>
      <w:r w:rsidR="009F3211" w:rsidRPr="00AD123D">
        <w:rPr>
          <w:rFonts w:ascii="Bookman Old Style" w:eastAsia="Calibri" w:hAnsi="Bookman Old Style" w:cs="Courier New"/>
          <w:b/>
          <w:sz w:val="22"/>
          <w:szCs w:val="22"/>
        </w:rPr>
        <w:t>PROYECTO DE DECRETO POR EL QUE SE REFORMA EL SEXTO PÁRRAFO DEL ARTICULO 75 SEPTIES DE LA CONSTITUCIÓN POLITICA DEL ESTADO DE YUCAT</w:t>
      </w:r>
      <w:r w:rsidR="003415CD">
        <w:rPr>
          <w:rFonts w:ascii="Bookman Old Style" w:eastAsia="Calibri" w:hAnsi="Bookman Old Style" w:cs="Courier New"/>
          <w:b/>
          <w:sz w:val="22"/>
          <w:szCs w:val="22"/>
        </w:rPr>
        <w:t>AN, REFORMADA  EL CINCO DE ABRIL</w:t>
      </w:r>
      <w:r w:rsidR="009F3211" w:rsidRPr="00AD123D">
        <w:rPr>
          <w:rFonts w:ascii="Bookman Old Style" w:eastAsia="Calibri" w:hAnsi="Bookman Old Style" w:cs="Courier New"/>
          <w:b/>
          <w:sz w:val="22"/>
          <w:szCs w:val="22"/>
        </w:rPr>
        <w:t xml:space="preserve"> DE DOS MIL VEINTITRÉS, EN MATERIA DE REQUISITOS PARA OCUPAR LA TITULARIDAD DE LA AGENCIA DE INTELIGENCIA PATRIMONIAL Y ECONÓMICA DEL ESTADO DE YUCATÁN</w:t>
      </w:r>
      <w:r w:rsidRPr="00AD123D">
        <w:rPr>
          <w:rFonts w:ascii="Bookman Old Style" w:eastAsia="Calibri" w:hAnsi="Bookman Old Style" w:cs="Courier New"/>
          <w:b/>
          <w:sz w:val="22"/>
          <w:szCs w:val="22"/>
        </w:rPr>
        <w:t>:</w:t>
      </w:r>
      <w:bookmarkStart w:id="5" w:name="_GoBack"/>
      <w:bookmarkEnd w:id="5"/>
    </w:p>
    <w:p w:rsidR="0040107E" w:rsidRPr="00AD123D" w:rsidRDefault="0040107E" w:rsidP="0040107E">
      <w:pPr>
        <w:pStyle w:val="NormalWeb"/>
        <w:shd w:val="clear" w:color="auto" w:fill="FFFFFF"/>
        <w:spacing w:line="360" w:lineRule="auto"/>
        <w:jc w:val="center"/>
        <w:rPr>
          <w:rFonts w:ascii="Bookman Old Style" w:hAnsi="Bookman Old Style" w:cs="Times"/>
          <w:color w:val="000000"/>
          <w:sz w:val="22"/>
          <w:szCs w:val="22"/>
        </w:rPr>
      </w:pPr>
      <w:r w:rsidRPr="00AD123D">
        <w:rPr>
          <w:rFonts w:ascii="Bookman Old Style" w:eastAsia="Calibri" w:hAnsi="Bookman Old Style" w:cs="Courier New"/>
          <w:b/>
          <w:sz w:val="22"/>
          <w:szCs w:val="22"/>
        </w:rPr>
        <w:t>D E C R E T O</w:t>
      </w:r>
    </w:p>
    <w:p w:rsidR="00E2566B" w:rsidRPr="00AD123D" w:rsidRDefault="00E2566B" w:rsidP="0040107E">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p>
    <w:p w:rsidR="0040107E" w:rsidRPr="00AD123D" w:rsidRDefault="0040107E" w:rsidP="0040107E">
      <w:pPr>
        <w:pStyle w:val="NormalWeb"/>
        <w:shd w:val="clear" w:color="auto" w:fill="FFFFFF"/>
        <w:spacing w:after="39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b/>
          <w:sz w:val="22"/>
          <w:szCs w:val="22"/>
          <w:shd w:val="clear" w:color="auto" w:fill="FFFFFF"/>
        </w:rPr>
        <w:t>Artículo Primero:</w:t>
      </w:r>
      <w:r w:rsidRPr="00AD123D">
        <w:rPr>
          <w:rFonts w:ascii="Bookman Old Style" w:hAnsi="Bookman Old Style" w:cs="Courier New"/>
          <w:sz w:val="22"/>
          <w:szCs w:val="22"/>
          <w:shd w:val="clear" w:color="auto" w:fill="FFFFFF"/>
        </w:rPr>
        <w:t xml:space="preserve"> Se reforma el </w:t>
      </w:r>
      <w:r w:rsidR="00692CCE" w:rsidRPr="00AD123D">
        <w:rPr>
          <w:rFonts w:ascii="Bookman Old Style" w:hAnsi="Bookman Old Style" w:cs="Courier New"/>
          <w:sz w:val="22"/>
          <w:szCs w:val="22"/>
          <w:shd w:val="clear" w:color="auto" w:fill="FFFFFF"/>
        </w:rPr>
        <w:t xml:space="preserve">sexto párrafo del artículo 75 </w:t>
      </w:r>
      <w:proofErr w:type="spellStart"/>
      <w:r w:rsidR="00692CCE" w:rsidRPr="00AD123D">
        <w:rPr>
          <w:rFonts w:ascii="Bookman Old Style" w:hAnsi="Bookman Old Style" w:cs="Courier New"/>
          <w:sz w:val="22"/>
          <w:szCs w:val="22"/>
          <w:shd w:val="clear" w:color="auto" w:fill="FFFFFF"/>
        </w:rPr>
        <w:t>septies</w:t>
      </w:r>
      <w:proofErr w:type="spellEnd"/>
      <w:r w:rsidR="00692CCE" w:rsidRPr="00AD123D">
        <w:rPr>
          <w:rFonts w:ascii="Bookman Old Style" w:hAnsi="Bookman Old Style" w:cs="Courier New"/>
          <w:sz w:val="22"/>
          <w:szCs w:val="22"/>
          <w:shd w:val="clear" w:color="auto" w:fill="FFFFFF"/>
        </w:rPr>
        <w:t xml:space="preserve"> </w:t>
      </w:r>
      <w:r w:rsidRPr="00AD123D">
        <w:rPr>
          <w:rFonts w:ascii="Bookman Old Style" w:hAnsi="Bookman Old Style" w:cs="Courier New"/>
          <w:sz w:val="22"/>
          <w:szCs w:val="22"/>
          <w:shd w:val="clear" w:color="auto" w:fill="FFFFFF"/>
        </w:rPr>
        <w:t>de la Constitución Política del estado de Yucatán, para que dar como sigue:</w:t>
      </w:r>
    </w:p>
    <w:p w:rsidR="0040107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 xml:space="preserve">Artículo 75 </w:t>
      </w:r>
      <w:proofErr w:type="spellStart"/>
      <w:r w:rsidRPr="00AD123D">
        <w:rPr>
          <w:rFonts w:ascii="Bookman Old Style" w:hAnsi="Bookman Old Style" w:cs="Courier New"/>
          <w:sz w:val="22"/>
          <w:szCs w:val="22"/>
          <w:shd w:val="clear" w:color="auto" w:fill="FFFFFF"/>
        </w:rPr>
        <w:t>septies</w:t>
      </w:r>
      <w:proofErr w:type="spellEnd"/>
      <w:r w:rsidR="0040107E" w:rsidRPr="00AD123D">
        <w:rPr>
          <w:rFonts w:ascii="Bookman Old Style" w:hAnsi="Bookman Old Style" w:cs="Courier New"/>
          <w:sz w:val="22"/>
          <w:szCs w:val="22"/>
          <w:shd w:val="clear" w:color="auto" w:fill="FFFFFF"/>
        </w:rPr>
        <w:t>.</w:t>
      </w:r>
      <w:r w:rsidR="00E2566B" w:rsidRPr="00AD123D">
        <w:rPr>
          <w:rFonts w:ascii="Bookman Old Style" w:hAnsi="Bookman Old Style" w:cs="Courier New"/>
          <w:sz w:val="22"/>
          <w:szCs w:val="22"/>
          <w:shd w:val="clear" w:color="auto" w:fill="FFFFFF"/>
        </w:rPr>
        <w:t>-…</w:t>
      </w:r>
    </w:p>
    <w:p w:rsidR="00692CC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shd w:val="clear" w:color="auto" w:fill="FFFFFF"/>
        <w:spacing w:before="0" w:beforeAutospacing="0"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Para ser titular de la Agencia de Inteligencia Patrimonial y Económica del Estado de Yucatán, se requiere cumplir los siguientes requisitos:</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lastRenderedPageBreak/>
        <w:t>…</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Gozar de buena reputación y no haber sido titular o personal de confianza del Poder Ejecutivo del Estado, de alguna de las dependencias o entidades de la Administración Pública del Estado de Yucatán, de un organismo autónomo, Senador, Diputado Federal, Diputado Local, Presidente Municipal o ministro de culto, durante dos años previo</w:t>
      </w:r>
      <w:r w:rsidR="00E2566B" w:rsidRPr="00AD123D">
        <w:rPr>
          <w:rFonts w:ascii="Bookman Old Style" w:hAnsi="Bookman Old Style" w:cs="Courier New"/>
          <w:sz w:val="22"/>
          <w:szCs w:val="22"/>
          <w:shd w:val="clear" w:color="auto" w:fill="FFFFFF"/>
        </w:rPr>
        <w:t>s</w:t>
      </w:r>
      <w:r w:rsidRPr="00AD123D">
        <w:rPr>
          <w:rFonts w:ascii="Bookman Old Style" w:hAnsi="Bookman Old Style" w:cs="Courier New"/>
          <w:sz w:val="22"/>
          <w:szCs w:val="22"/>
          <w:shd w:val="clear" w:color="auto" w:fill="FFFFFF"/>
        </w:rPr>
        <w:t xml:space="preserve"> al día de la designación</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E2566B">
      <w:pPr>
        <w:pStyle w:val="NormalWeb"/>
        <w:numPr>
          <w:ilvl w:val="0"/>
          <w:numId w:val="1"/>
        </w:numPr>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r w:rsidRPr="00AD123D">
        <w:rPr>
          <w:rFonts w:ascii="Bookman Old Style" w:hAnsi="Bookman Old Style" w:cs="Courier New"/>
          <w:sz w:val="22"/>
          <w:szCs w:val="22"/>
          <w:shd w:val="clear" w:color="auto" w:fill="FFFFFF"/>
        </w:rPr>
        <w:t>…</w:t>
      </w:r>
    </w:p>
    <w:p w:rsidR="00692CCE" w:rsidRPr="00AD123D" w:rsidRDefault="00692CCE" w:rsidP="00AD123D">
      <w:pPr>
        <w:pStyle w:val="NormalWeb"/>
        <w:shd w:val="clear" w:color="auto" w:fill="FFFFFF"/>
        <w:spacing w:after="0" w:afterAutospacing="0" w:line="360" w:lineRule="auto"/>
        <w:jc w:val="both"/>
        <w:textAlignment w:val="baseline"/>
        <w:rPr>
          <w:rFonts w:ascii="Bookman Old Style" w:hAnsi="Bookman Old Style" w:cs="Courier New"/>
          <w:sz w:val="22"/>
          <w:szCs w:val="22"/>
          <w:shd w:val="clear" w:color="auto" w:fill="FFFFFF"/>
        </w:rPr>
      </w:pPr>
    </w:p>
    <w:p w:rsidR="0040107E" w:rsidRPr="00AD123D" w:rsidRDefault="0040107E" w:rsidP="0040107E">
      <w:pPr>
        <w:pStyle w:val="NormalWeb"/>
        <w:shd w:val="clear" w:color="auto" w:fill="FFFFFF"/>
        <w:spacing w:after="390" w:line="360" w:lineRule="auto"/>
        <w:jc w:val="center"/>
        <w:textAlignment w:val="baseline"/>
        <w:rPr>
          <w:rFonts w:ascii="Bookman Old Style" w:hAnsi="Bookman Old Style" w:cs="Courier New"/>
          <w:b/>
          <w:sz w:val="22"/>
          <w:szCs w:val="22"/>
          <w:shd w:val="clear" w:color="auto" w:fill="FFFFFF"/>
        </w:rPr>
      </w:pPr>
      <w:r w:rsidRPr="00AD123D">
        <w:rPr>
          <w:rFonts w:ascii="Bookman Old Style" w:hAnsi="Bookman Old Style" w:cs="Courier New"/>
          <w:b/>
          <w:sz w:val="22"/>
          <w:szCs w:val="22"/>
          <w:shd w:val="clear" w:color="auto" w:fill="FFFFFF"/>
        </w:rPr>
        <w:t>TRANSITORIOS.</w:t>
      </w:r>
    </w:p>
    <w:p w:rsidR="0040107E" w:rsidRPr="00AD123D" w:rsidRDefault="0040107E" w:rsidP="0040107E">
      <w:pPr>
        <w:pStyle w:val="NormalWeb"/>
        <w:spacing w:line="360" w:lineRule="auto"/>
        <w:jc w:val="both"/>
        <w:rPr>
          <w:rFonts w:ascii="Bookman Old Style" w:hAnsi="Bookman Old Style" w:cs="Courier New"/>
          <w:bCs/>
          <w:sz w:val="22"/>
          <w:szCs w:val="22"/>
          <w:shd w:val="clear" w:color="auto" w:fill="FFFFFF"/>
        </w:rPr>
      </w:pPr>
      <w:r w:rsidRPr="00AD123D">
        <w:rPr>
          <w:rFonts w:ascii="Bookman Old Style" w:hAnsi="Bookman Old Style" w:cs="Courier New"/>
          <w:b/>
          <w:bCs/>
          <w:sz w:val="22"/>
          <w:szCs w:val="22"/>
          <w:shd w:val="clear" w:color="auto" w:fill="FFFFFF"/>
        </w:rPr>
        <w:t>Primero.-</w:t>
      </w:r>
      <w:r w:rsidRPr="00AD123D">
        <w:rPr>
          <w:rFonts w:ascii="Bookman Old Style" w:hAnsi="Bookman Old Style" w:cs="Courier New"/>
          <w:bCs/>
          <w:sz w:val="22"/>
          <w:szCs w:val="22"/>
          <w:shd w:val="clear" w:color="auto" w:fill="FFFFFF"/>
        </w:rPr>
        <w:t xml:space="preserve"> El presente decreto entrará en vigor al día siguiente de su publicación en el Diario Oficial del Gobierno del  Estado de Yucatán. </w:t>
      </w:r>
    </w:p>
    <w:p w:rsidR="0040107E" w:rsidRPr="00AD123D" w:rsidRDefault="0040107E" w:rsidP="0040107E">
      <w:pPr>
        <w:pStyle w:val="NormalWeb"/>
        <w:shd w:val="clear" w:color="auto" w:fill="FFFFFF"/>
        <w:spacing w:line="360" w:lineRule="auto"/>
        <w:jc w:val="both"/>
        <w:textAlignment w:val="baseline"/>
        <w:rPr>
          <w:rFonts w:ascii="Bookman Old Style" w:hAnsi="Bookman Old Style" w:cs="Courier New"/>
          <w:bCs/>
          <w:sz w:val="22"/>
          <w:szCs w:val="22"/>
          <w:shd w:val="clear" w:color="auto" w:fill="FFFFFF"/>
        </w:rPr>
      </w:pPr>
      <w:r w:rsidRPr="00AD123D">
        <w:rPr>
          <w:rFonts w:ascii="Bookman Old Style" w:hAnsi="Bookman Old Style" w:cs="Courier New"/>
          <w:bCs/>
          <w:sz w:val="22"/>
          <w:szCs w:val="22"/>
          <w:shd w:val="clear" w:color="auto" w:fill="FFFFFF"/>
        </w:rPr>
        <w:t xml:space="preserve">Dado en la sala de sesiones del Pleno del H. Congreso de Yucatán, a los </w:t>
      </w:r>
      <w:r w:rsidR="00692CCE" w:rsidRPr="00AD123D">
        <w:rPr>
          <w:rFonts w:ascii="Bookman Old Style" w:hAnsi="Bookman Old Style" w:cs="Courier New"/>
          <w:bCs/>
          <w:sz w:val="22"/>
          <w:szCs w:val="22"/>
          <w:shd w:val="clear" w:color="auto" w:fill="FFFFFF"/>
        </w:rPr>
        <w:t>doce días del mes de abril</w:t>
      </w:r>
      <w:r w:rsidRPr="00AD123D">
        <w:rPr>
          <w:rFonts w:ascii="Bookman Old Style" w:hAnsi="Bookman Old Style" w:cs="Courier New"/>
          <w:bCs/>
          <w:sz w:val="22"/>
          <w:szCs w:val="22"/>
          <w:shd w:val="clear" w:color="auto" w:fill="FFFFFF"/>
        </w:rPr>
        <w:t xml:space="preserve"> del dos mil </w:t>
      </w:r>
      <w:r w:rsidR="00692CCE" w:rsidRPr="00AD123D">
        <w:rPr>
          <w:rFonts w:ascii="Bookman Old Style" w:hAnsi="Bookman Old Style" w:cs="Courier New"/>
          <w:bCs/>
          <w:sz w:val="22"/>
          <w:szCs w:val="22"/>
          <w:shd w:val="clear" w:color="auto" w:fill="FFFFFF"/>
        </w:rPr>
        <w:t>veintitrés</w:t>
      </w:r>
      <w:r w:rsidRPr="00AD123D">
        <w:rPr>
          <w:rFonts w:ascii="Bookman Old Style" w:hAnsi="Bookman Old Style" w:cs="Courier New"/>
          <w:bCs/>
          <w:sz w:val="22"/>
          <w:szCs w:val="22"/>
          <w:shd w:val="clear" w:color="auto" w:fill="FFFFFF"/>
        </w:rPr>
        <w:t>.</w:t>
      </w:r>
    </w:p>
    <w:p w:rsidR="0040107E" w:rsidRPr="00AD123D" w:rsidRDefault="0040107E" w:rsidP="0040107E">
      <w:pPr>
        <w:pStyle w:val="NormalWeb"/>
        <w:shd w:val="clear" w:color="auto" w:fill="FFFFFF"/>
        <w:spacing w:line="360" w:lineRule="auto"/>
        <w:jc w:val="center"/>
        <w:textAlignment w:val="baseline"/>
        <w:rPr>
          <w:rFonts w:ascii="Bookman Old Style" w:hAnsi="Bookman Old Style" w:cs="Courier New"/>
          <w:b/>
          <w:sz w:val="22"/>
          <w:szCs w:val="22"/>
          <w:shd w:val="clear" w:color="auto" w:fill="FFFFFF"/>
        </w:rPr>
      </w:pPr>
      <w:r w:rsidRPr="00AD123D">
        <w:rPr>
          <w:rFonts w:ascii="Bookman Old Style" w:hAnsi="Bookman Old Style" w:cs="Courier New"/>
          <w:b/>
          <w:sz w:val="22"/>
          <w:szCs w:val="22"/>
          <w:shd w:val="clear" w:color="auto" w:fill="FFFFFF"/>
        </w:rPr>
        <w:t>ATENTAMENTE</w:t>
      </w:r>
    </w:p>
    <w:p w:rsidR="0040107E" w:rsidRPr="00AD123D" w:rsidRDefault="0040107E" w:rsidP="0040107E">
      <w:pPr>
        <w:pStyle w:val="NormalWeb"/>
        <w:shd w:val="clear" w:color="auto" w:fill="FFFFFF"/>
        <w:spacing w:after="390" w:line="360" w:lineRule="auto"/>
        <w:jc w:val="center"/>
        <w:textAlignment w:val="baseline"/>
        <w:rPr>
          <w:rFonts w:ascii="Bookman Old Style" w:hAnsi="Bookman Old Style" w:cs="Courier New"/>
          <w:b/>
          <w:sz w:val="22"/>
          <w:szCs w:val="22"/>
          <w:shd w:val="clear" w:color="auto" w:fill="FFFFFF"/>
        </w:rPr>
      </w:pPr>
    </w:p>
    <w:p w:rsidR="0040107E" w:rsidRPr="00AD123D" w:rsidRDefault="0040107E" w:rsidP="0040107E">
      <w:pPr>
        <w:spacing w:after="0" w:line="360" w:lineRule="auto"/>
        <w:jc w:val="center"/>
        <w:rPr>
          <w:rFonts w:ascii="Bookman Old Style" w:eastAsia="Times New Roman" w:hAnsi="Bookman Old Style" w:cs="Courier New"/>
          <w:b/>
          <w:shd w:val="clear" w:color="auto" w:fill="FFFFFF"/>
          <w:lang w:eastAsia="es-MX"/>
        </w:rPr>
      </w:pPr>
      <w:r w:rsidRPr="00AD123D">
        <w:rPr>
          <w:rFonts w:ascii="Bookman Old Style" w:eastAsia="Times New Roman" w:hAnsi="Bookman Old Style" w:cs="Courier New"/>
          <w:b/>
          <w:shd w:val="clear" w:color="auto" w:fill="FFFFFF"/>
          <w:lang w:eastAsia="es-MX"/>
        </w:rPr>
        <w:t>_________________</w:t>
      </w:r>
    </w:p>
    <w:p w:rsidR="0040107E" w:rsidRPr="00AD123D" w:rsidRDefault="0040107E" w:rsidP="0040107E">
      <w:pPr>
        <w:spacing w:after="0" w:line="360" w:lineRule="auto"/>
        <w:jc w:val="center"/>
        <w:rPr>
          <w:rFonts w:ascii="Bookman Old Style" w:eastAsia="Times New Roman" w:hAnsi="Bookman Old Style" w:cs="Courier New"/>
          <w:shd w:val="clear" w:color="auto" w:fill="FFFFFF"/>
          <w:lang w:eastAsia="es-MX"/>
        </w:rPr>
      </w:pPr>
      <w:r w:rsidRPr="00AD123D">
        <w:rPr>
          <w:rFonts w:ascii="Bookman Old Style" w:eastAsia="Times New Roman" w:hAnsi="Bookman Old Style" w:cs="Courier New"/>
          <w:b/>
          <w:shd w:val="clear" w:color="auto" w:fill="FFFFFF"/>
          <w:lang w:eastAsia="es-MX"/>
        </w:rPr>
        <w:t>DR. RAFAEL ALEJANDRO ECHAZARRETA TORRES</w:t>
      </w:r>
    </w:p>
    <w:p w:rsidR="0040107E" w:rsidRPr="00AD123D" w:rsidRDefault="0040107E" w:rsidP="0040107E">
      <w:pPr>
        <w:spacing w:after="0" w:line="360" w:lineRule="auto"/>
        <w:jc w:val="center"/>
        <w:rPr>
          <w:rFonts w:ascii="Bookman Old Style" w:eastAsia="Times New Roman" w:hAnsi="Bookman Old Style" w:cs="Courier New"/>
          <w:shd w:val="clear" w:color="auto" w:fill="FFFFFF"/>
          <w:lang w:eastAsia="es-MX"/>
        </w:rPr>
      </w:pPr>
      <w:r w:rsidRPr="00AD123D">
        <w:rPr>
          <w:rFonts w:ascii="Bookman Old Style" w:eastAsia="Times New Roman" w:hAnsi="Bookman Old Style" w:cs="Courier New"/>
          <w:b/>
          <w:shd w:val="clear" w:color="auto" w:fill="FFFFFF"/>
          <w:lang w:eastAsia="es-MX"/>
        </w:rPr>
        <w:t>DIPUTADO</w:t>
      </w:r>
    </w:p>
    <w:p w:rsidR="0040107E" w:rsidRPr="00AD123D" w:rsidRDefault="0040107E" w:rsidP="0040107E">
      <w:pPr>
        <w:spacing w:line="360" w:lineRule="auto"/>
        <w:jc w:val="both"/>
        <w:rPr>
          <w:rFonts w:ascii="Bookman Old Style" w:hAnsi="Bookman Old Style"/>
        </w:rPr>
      </w:pPr>
    </w:p>
    <w:p w:rsidR="00DA7133" w:rsidRPr="00AD123D" w:rsidRDefault="00DA7133"/>
    <w:sectPr w:rsidR="00DA7133" w:rsidRPr="00AD123D" w:rsidSect="003C7E38">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25CBE">
      <w:pPr>
        <w:spacing w:after="0" w:line="240" w:lineRule="auto"/>
      </w:pPr>
      <w:r>
        <w:separator/>
      </w:r>
    </w:p>
  </w:endnote>
  <w:endnote w:type="continuationSeparator" w:id="0">
    <w:p w:rsidR="00000000" w:rsidRDefault="0072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056" w:rsidRDefault="00AD123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415CD" w:rsidRPr="003415CD">
      <w:rPr>
        <w:noProof/>
        <w:color w:val="323E4F" w:themeColor="text2" w:themeShade="BF"/>
        <w:sz w:val="24"/>
        <w:szCs w:val="24"/>
        <w:lang w:val="es-ES"/>
      </w:rPr>
      <w:t>4</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415CD" w:rsidRPr="003415CD">
      <w:rPr>
        <w:noProof/>
        <w:color w:val="323E4F" w:themeColor="text2" w:themeShade="BF"/>
        <w:sz w:val="24"/>
        <w:szCs w:val="24"/>
        <w:lang w:val="es-ES"/>
      </w:rPr>
      <w:t>4</w:t>
    </w:r>
    <w:r>
      <w:rPr>
        <w:color w:val="323E4F" w:themeColor="text2" w:themeShade="BF"/>
        <w:sz w:val="24"/>
        <w:szCs w:val="24"/>
      </w:rPr>
      <w:fldChar w:fldCharType="end"/>
    </w:r>
  </w:p>
  <w:p w:rsidR="00FA0056" w:rsidRDefault="00725C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25CBE">
      <w:pPr>
        <w:spacing w:after="0" w:line="240" w:lineRule="auto"/>
      </w:pPr>
      <w:r>
        <w:separator/>
      </w:r>
    </w:p>
  </w:footnote>
  <w:footnote w:type="continuationSeparator" w:id="0">
    <w:p w:rsidR="00000000" w:rsidRDefault="00725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65D22"/>
    <w:multiLevelType w:val="hybridMultilevel"/>
    <w:tmpl w:val="817E4A4A"/>
    <w:lvl w:ilvl="0" w:tplc="9D8C9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7E"/>
    <w:rsid w:val="003415CD"/>
    <w:rsid w:val="0040107E"/>
    <w:rsid w:val="00664177"/>
    <w:rsid w:val="00692CCE"/>
    <w:rsid w:val="00725CBE"/>
    <w:rsid w:val="009F3211"/>
    <w:rsid w:val="00AD123D"/>
    <w:rsid w:val="00DA7133"/>
    <w:rsid w:val="00E2566B"/>
    <w:rsid w:val="00E90732"/>
    <w:rsid w:val="00E93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F4C1D-2F9B-423B-A6FA-0FD7D307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10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40107E"/>
  </w:style>
  <w:style w:type="paragraph" w:styleId="Piedepgina">
    <w:name w:val="footer"/>
    <w:basedOn w:val="Normal"/>
    <w:link w:val="PiedepginaCar"/>
    <w:uiPriority w:val="99"/>
    <w:unhideWhenUsed/>
    <w:rsid w:val="00401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07E"/>
  </w:style>
  <w:style w:type="character" w:styleId="Hipervnculo">
    <w:name w:val="Hyperlink"/>
    <w:basedOn w:val="Fuentedeprrafopredeter"/>
    <w:uiPriority w:val="99"/>
    <w:unhideWhenUsed/>
    <w:rsid w:val="00E2566B"/>
    <w:rPr>
      <w:color w:val="0563C1" w:themeColor="hyperlink"/>
      <w:u w:val="single"/>
    </w:rPr>
  </w:style>
  <w:style w:type="paragraph" w:styleId="Textodeglobo">
    <w:name w:val="Balloon Text"/>
    <w:basedOn w:val="Normal"/>
    <w:link w:val="TextodegloboCar"/>
    <w:uiPriority w:val="99"/>
    <w:semiHidden/>
    <w:unhideWhenUsed/>
    <w:rsid w:val="00AD12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1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Cubiculo18Dip</dc:creator>
  <cp:keywords/>
  <dc:description/>
  <cp:lastModifiedBy>Cubiculo18Dip</cp:lastModifiedBy>
  <cp:revision>2</cp:revision>
  <cp:lastPrinted>2023-04-12T18:24:00Z</cp:lastPrinted>
  <dcterms:created xsi:type="dcterms:W3CDTF">2023-04-12T18:27:00Z</dcterms:created>
  <dcterms:modified xsi:type="dcterms:W3CDTF">2023-04-12T18:27:00Z</dcterms:modified>
</cp:coreProperties>
</file>